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48" w:rsidRDefault="002815B4">
      <w:pPr>
        <w:pStyle w:val="ab"/>
        <w:ind w:firstLine="709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 xml:space="preserve">«Географ глобус пропил»? </w:t>
      </w:r>
    </w:p>
    <w:p w:rsidR="002815B4" w:rsidRDefault="002815B4">
      <w:pPr>
        <w:pStyle w:val="ab"/>
        <w:ind w:firstLine="709"/>
        <w:jc w:val="both"/>
        <w:rPr>
          <w:rFonts w:cs="Times New Roman"/>
          <w:color w:val="00000A"/>
          <w:sz w:val="28"/>
        </w:rPr>
      </w:pPr>
    </w:p>
    <w:p w:rsidR="002815B4" w:rsidRDefault="002815B4" w:rsidP="002815B4">
      <w:pPr>
        <w:pStyle w:val="ab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 xml:space="preserve">Шансов на то, что старинный трехметровый якорь вернется на свое место у севастопольского Дворца рыбаков, практически нет, и отвечать за это, похоже, никто не обирается. </w:t>
      </w:r>
    </w:p>
    <w:p w:rsidR="002815B4" w:rsidRDefault="002815B4" w:rsidP="002815B4">
      <w:pPr>
        <w:pStyle w:val="ab"/>
        <w:jc w:val="both"/>
        <w:rPr>
          <w:rFonts w:cs="Times New Roman"/>
          <w:color w:val="00000A"/>
          <w:sz w:val="28"/>
        </w:rPr>
      </w:pPr>
    </w:p>
    <w:p w:rsidR="002815B4" w:rsidRDefault="002815B4" w:rsidP="002815B4">
      <w:pPr>
        <w:pStyle w:val="ab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 xml:space="preserve">Этот вывод следует из ответов ведомств на информационные запросы </w:t>
      </w:r>
      <w:proofErr w:type="spellStart"/>
      <w:r>
        <w:rPr>
          <w:rFonts w:cs="Times New Roman"/>
          <w:color w:val="00000A"/>
          <w:sz w:val="28"/>
          <w:lang w:val="en-US"/>
        </w:rPr>
        <w:t>ForPost</w:t>
      </w:r>
      <w:proofErr w:type="spellEnd"/>
      <w:r>
        <w:rPr>
          <w:rFonts w:cs="Times New Roman"/>
          <w:color w:val="00000A"/>
          <w:sz w:val="28"/>
        </w:rPr>
        <w:t xml:space="preserve">. В них мы просили сообщить, какими </w:t>
      </w:r>
      <w:r w:rsidRPr="002815B4">
        <w:rPr>
          <w:rFonts w:cs="Times New Roman"/>
          <w:color w:val="00000A"/>
          <w:sz w:val="28"/>
        </w:rPr>
        <w:t>документами сопровождалось перемещение якоря,</w:t>
      </w:r>
      <w:r>
        <w:rPr>
          <w:rFonts w:cs="Times New Roman"/>
          <w:color w:val="00000A"/>
          <w:sz w:val="28"/>
        </w:rPr>
        <w:t xml:space="preserve"> был ли якорь передан кому-либо </w:t>
      </w:r>
      <w:r w:rsidRPr="002815B4">
        <w:rPr>
          <w:rFonts w:cs="Times New Roman"/>
          <w:color w:val="00000A"/>
          <w:sz w:val="28"/>
        </w:rPr>
        <w:t>на ответственно</w:t>
      </w:r>
      <w:r>
        <w:rPr>
          <w:rFonts w:cs="Times New Roman"/>
          <w:color w:val="00000A"/>
          <w:sz w:val="28"/>
        </w:rPr>
        <w:t>е</w:t>
      </w:r>
      <w:r w:rsidRPr="002815B4">
        <w:rPr>
          <w:rFonts w:cs="Times New Roman"/>
          <w:color w:val="00000A"/>
          <w:sz w:val="28"/>
        </w:rPr>
        <w:t xml:space="preserve"> хранени</w:t>
      </w:r>
      <w:r>
        <w:rPr>
          <w:rFonts w:cs="Times New Roman"/>
          <w:color w:val="00000A"/>
          <w:sz w:val="28"/>
        </w:rPr>
        <w:t xml:space="preserve">е и </w:t>
      </w:r>
      <w:r w:rsidRPr="002815B4">
        <w:rPr>
          <w:rFonts w:cs="Times New Roman"/>
          <w:color w:val="00000A"/>
          <w:sz w:val="28"/>
        </w:rPr>
        <w:t>что сегодня известно о местонахождении якоря.</w:t>
      </w:r>
    </w:p>
    <w:p w:rsidR="002815B4" w:rsidRDefault="002815B4" w:rsidP="002815B4">
      <w:pPr>
        <w:pStyle w:val="ab"/>
        <w:jc w:val="both"/>
        <w:rPr>
          <w:rFonts w:cs="Times New Roman"/>
          <w:color w:val="00000A"/>
          <w:sz w:val="28"/>
        </w:rPr>
      </w:pPr>
    </w:p>
    <w:p w:rsidR="002815B4" w:rsidRDefault="002815B4" w:rsidP="002815B4">
      <w:pPr>
        <w:pStyle w:val="ab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 xml:space="preserve">В департаменте городского хозяйства, чей </w:t>
      </w:r>
      <w:proofErr w:type="spellStart"/>
      <w:r>
        <w:rPr>
          <w:rFonts w:cs="Times New Roman"/>
          <w:color w:val="00000A"/>
          <w:sz w:val="28"/>
        </w:rPr>
        <w:t>подвед</w:t>
      </w:r>
      <w:proofErr w:type="spellEnd"/>
      <w:r>
        <w:rPr>
          <w:rFonts w:cs="Times New Roman"/>
          <w:color w:val="00000A"/>
          <w:sz w:val="28"/>
        </w:rPr>
        <w:t xml:space="preserve"> ГБУ «Парки и скверы» занимался капитальным ремонтом площади перед </w:t>
      </w:r>
      <w:proofErr w:type="gramStart"/>
      <w:r>
        <w:rPr>
          <w:rFonts w:cs="Times New Roman"/>
          <w:color w:val="00000A"/>
          <w:sz w:val="28"/>
        </w:rPr>
        <w:t>ДКР</w:t>
      </w:r>
      <w:r w:rsidR="00856DAC">
        <w:rPr>
          <w:rFonts w:cs="Times New Roman"/>
          <w:color w:val="00000A"/>
          <w:sz w:val="28"/>
        </w:rPr>
        <w:t>,  заявил</w:t>
      </w:r>
      <w:proofErr w:type="gramEnd"/>
      <w:r w:rsidR="00856DAC">
        <w:rPr>
          <w:rFonts w:cs="Times New Roman"/>
          <w:color w:val="00000A"/>
          <w:sz w:val="28"/>
        </w:rPr>
        <w:t>, что «место расположения якоря находилось вне границ благоустройства площади» и у него «информация о передислокации якоря отсутствует».</w:t>
      </w:r>
    </w:p>
    <w:p w:rsidR="00856DAC" w:rsidRDefault="00856DAC" w:rsidP="002815B4">
      <w:pPr>
        <w:pStyle w:val="ab"/>
        <w:jc w:val="both"/>
        <w:rPr>
          <w:rFonts w:cs="Times New Roman"/>
          <w:color w:val="00000A"/>
          <w:sz w:val="28"/>
        </w:rPr>
      </w:pPr>
    </w:p>
    <w:p w:rsidR="002815B4" w:rsidRPr="00856DAC" w:rsidRDefault="00856DAC" w:rsidP="00856DAC">
      <w:pPr>
        <w:pStyle w:val="ab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 xml:space="preserve">Отметим, что ранее </w:t>
      </w:r>
      <w:proofErr w:type="spellStart"/>
      <w:r>
        <w:rPr>
          <w:rFonts w:cs="Times New Roman"/>
          <w:color w:val="00000A"/>
          <w:sz w:val="28"/>
        </w:rPr>
        <w:t>горхоз</w:t>
      </w:r>
      <w:proofErr w:type="spellEnd"/>
      <w:r>
        <w:rPr>
          <w:rFonts w:cs="Times New Roman"/>
          <w:color w:val="00000A"/>
          <w:sz w:val="28"/>
        </w:rPr>
        <w:t xml:space="preserve"> заверял, что якорь вывезен </w:t>
      </w:r>
      <w:hyperlink r:id="rId7" w:history="1">
        <w:r w:rsidRPr="00856DAC">
          <w:rPr>
            <w:rStyle w:val="af1"/>
            <w:rFonts w:cs="Times New Roman"/>
            <w:sz w:val="28"/>
          </w:rPr>
          <w:t>на хранение</w:t>
        </w:r>
      </w:hyperlink>
      <w:r>
        <w:rPr>
          <w:rFonts w:cs="Times New Roman"/>
          <w:color w:val="00000A"/>
          <w:sz w:val="28"/>
        </w:rPr>
        <w:t xml:space="preserve"> департаментом капитального строительства, точнее «Единой дирекцией капитального строительства», которая организовывала</w:t>
      </w:r>
      <w:r w:rsidRPr="00856DAC">
        <w:rPr>
          <w:rFonts w:cs="Times New Roman"/>
          <w:color w:val="00000A"/>
          <w:sz w:val="28"/>
        </w:rPr>
        <w:t xml:space="preserve"> ремонту </w:t>
      </w:r>
      <w:r>
        <w:rPr>
          <w:rFonts w:cs="Times New Roman"/>
          <w:color w:val="00000A"/>
          <w:sz w:val="28"/>
        </w:rPr>
        <w:t>тепло</w:t>
      </w:r>
      <w:r w:rsidRPr="00856DAC">
        <w:rPr>
          <w:rFonts w:cs="Times New Roman"/>
          <w:color w:val="00000A"/>
          <w:sz w:val="28"/>
        </w:rPr>
        <w:t xml:space="preserve">сетей </w:t>
      </w:r>
      <w:r>
        <w:rPr>
          <w:rFonts w:cs="Times New Roman"/>
          <w:color w:val="00000A"/>
          <w:sz w:val="28"/>
        </w:rPr>
        <w:t xml:space="preserve">по соседству </w:t>
      </w:r>
      <w:r w:rsidRPr="00856DAC">
        <w:rPr>
          <w:rFonts w:cs="Times New Roman"/>
          <w:color w:val="00000A"/>
          <w:sz w:val="28"/>
        </w:rPr>
        <w:t>(объект –ТК-26)</w:t>
      </w:r>
      <w:r>
        <w:rPr>
          <w:rFonts w:cs="Times New Roman"/>
          <w:color w:val="00000A"/>
          <w:sz w:val="28"/>
        </w:rPr>
        <w:t>.</w:t>
      </w:r>
      <w:bookmarkStart w:id="0" w:name="_GoBack"/>
      <w:bookmarkEnd w:id="0"/>
    </w:p>
    <w:p w:rsidR="002815B4" w:rsidRDefault="002815B4">
      <w:pPr>
        <w:pStyle w:val="ab"/>
        <w:ind w:firstLine="709"/>
        <w:jc w:val="both"/>
        <w:rPr>
          <w:rFonts w:cs="Times New Roman"/>
          <w:color w:val="00000A"/>
          <w:sz w:val="28"/>
        </w:rPr>
      </w:pPr>
    </w:p>
    <w:p w:rsidR="00BA5A48" w:rsidRDefault="00BA5A48">
      <w:pPr>
        <w:pStyle w:val="ab"/>
        <w:ind w:firstLine="709"/>
        <w:jc w:val="both"/>
        <w:rPr>
          <w:rFonts w:cs="Times New Roman"/>
          <w:color w:val="00000A"/>
          <w:sz w:val="28"/>
        </w:rPr>
      </w:pPr>
    </w:p>
    <w:p w:rsidR="001A4490" w:rsidRDefault="00C32C3E" w:rsidP="00BA5A48">
      <w:pPr>
        <w:pStyle w:val="ab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>В соответствии с</w:t>
      </w:r>
      <w:r>
        <w:rPr>
          <w:color w:val="00000A"/>
          <w:sz w:val="28"/>
        </w:rPr>
        <w:t xml:space="preserve"> Распоряжением Правительства Севастополя </w:t>
      </w:r>
      <w:r>
        <w:rPr>
          <w:color w:val="00000A"/>
          <w:sz w:val="28"/>
        </w:rPr>
        <w:br/>
        <w:t xml:space="preserve">от 09.07.2020 № 65-РП «О передаче функций и полномочий по реализации мероприятий (объектов), выполняемых в 2020 году и запланированных </w:t>
      </w:r>
      <w:r>
        <w:rPr>
          <w:color w:val="00000A"/>
          <w:sz w:val="28"/>
        </w:rPr>
        <w:br/>
        <w:t xml:space="preserve">на период 2021-2022 годов, предусмотренных государственной программой города Севастополя «Развитие жилищно-коммунальной инфраструктуры города Севастополя» в части строительства и реконструкции» права государственного заказчика по мероприятию «Реконструкция тепловых сетей от котельной Камышовой бухты до ТК-26 г. Севастополь» (далее – Объект) </w:t>
      </w:r>
      <w:r>
        <w:rPr>
          <w:rFonts w:cs="Times New Roman"/>
          <w:color w:val="00000A"/>
          <w:sz w:val="28"/>
        </w:rPr>
        <w:t>перешли от                ГКУ «Управление по эксплуатации объектов городского хозяйства» в                 ГКУ ГС «ЕДКС».</w:t>
      </w:r>
    </w:p>
    <w:p w:rsidR="001A4490" w:rsidRDefault="00C32C3E">
      <w:pPr>
        <w:pStyle w:val="ab"/>
        <w:ind w:firstLine="709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>Однако на сегодняшний день соглашение о перемене государственного заказчика по Объекту не подписано и, соответственно, юридических оснований для перехода прав и обязанностей по заключенному контракту не имеется.</w:t>
      </w:r>
    </w:p>
    <w:p w:rsidR="001A4490" w:rsidRDefault="00C32C3E">
      <w:pPr>
        <w:pStyle w:val="ab"/>
        <w:ind w:firstLine="709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 xml:space="preserve">В соответствии с вышеуказанным распоряжением в ГКУ ГС «ЕДКС» была передана исключительно документация по Объекту. Строительная площадка и объёмы ранее выполненных работ не были переданы. </w:t>
      </w:r>
    </w:p>
    <w:p w:rsidR="001A4490" w:rsidRDefault="00C32C3E">
      <w:pPr>
        <w:pStyle w:val="ab"/>
        <w:ind w:firstLine="709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t xml:space="preserve">К тому же, по данным ЕИС в сфере закупок государственный контракт </w:t>
      </w:r>
      <w:r>
        <w:rPr>
          <w:rFonts w:cs="Times New Roman"/>
          <w:color w:val="00000A"/>
          <w:sz w:val="28"/>
        </w:rPr>
        <w:br/>
        <w:t xml:space="preserve">от 24.10.2018 № 29204003670180002310/21ФЦП-ЭА был расторгнут 28.12.2020 на основании решения поставщика (подрядчика, исполнителя) </w:t>
      </w:r>
      <w:r>
        <w:rPr>
          <w:rFonts w:cs="Times New Roman"/>
          <w:color w:val="00000A"/>
          <w:sz w:val="28"/>
        </w:rPr>
        <w:br/>
        <w:t xml:space="preserve">об одностороннем отказе от исполнения контракта от 17.12.2020 </w:t>
      </w:r>
      <w:r>
        <w:rPr>
          <w:rFonts w:cs="Times New Roman"/>
          <w:color w:val="00000A"/>
          <w:sz w:val="28"/>
        </w:rPr>
        <w:br/>
        <w:t xml:space="preserve">№ Ис-2020/ИЛ-17.12-1 в соответствии с п. 9.12 контракта. </w:t>
      </w:r>
    </w:p>
    <w:p w:rsidR="001A4490" w:rsidRDefault="00C32C3E">
      <w:pPr>
        <w:pStyle w:val="ab"/>
        <w:ind w:firstLine="709"/>
        <w:jc w:val="both"/>
      </w:pPr>
      <w:r>
        <w:rPr>
          <w:rFonts w:cs="Times New Roman"/>
          <w:color w:val="00000A"/>
          <w:sz w:val="28"/>
        </w:rPr>
        <w:t xml:space="preserve">Открыто судебное делопроизводство по арбитражному делу </w:t>
      </w:r>
      <w:r>
        <w:rPr>
          <w:rFonts w:cs="Times New Roman"/>
          <w:color w:val="00000A"/>
          <w:sz w:val="28"/>
        </w:rPr>
        <w:br/>
      </w:r>
      <w:hyperlink r:id="rId8" w:tgtFrame="_blank">
        <w:r>
          <w:rPr>
            <w:rStyle w:val="InternetLink"/>
            <w:rFonts w:cs="Times New Roman"/>
            <w:color w:val="00000A"/>
            <w:sz w:val="28"/>
          </w:rPr>
          <w:t>А84-5516/2020</w:t>
        </w:r>
      </w:hyperlink>
      <w:r>
        <w:rPr>
          <w:rFonts w:cs="Times New Roman"/>
          <w:color w:val="00000A"/>
          <w:sz w:val="28"/>
        </w:rPr>
        <w:t xml:space="preserve">. </w:t>
      </w:r>
    </w:p>
    <w:p w:rsidR="001A4490" w:rsidRDefault="00C32C3E">
      <w:pPr>
        <w:pStyle w:val="ab"/>
        <w:ind w:firstLine="709"/>
        <w:jc w:val="both"/>
        <w:rPr>
          <w:rFonts w:cs="Times New Roman"/>
          <w:color w:val="00000A"/>
          <w:sz w:val="28"/>
        </w:rPr>
      </w:pPr>
      <w:r>
        <w:rPr>
          <w:rFonts w:cs="Times New Roman"/>
          <w:color w:val="00000A"/>
          <w:sz w:val="28"/>
        </w:rPr>
        <w:lastRenderedPageBreak/>
        <w:t>Информации о передаче якоря, на чей-либо баланс, находящегося в зоне проведения работ по Объекту, отсутствует.</w:t>
      </w:r>
    </w:p>
    <w:p w:rsidR="001A4490" w:rsidRDefault="00C32C3E">
      <w:pPr>
        <w:pStyle w:val="ab"/>
        <w:ind w:firstLine="709"/>
        <w:jc w:val="both"/>
        <w:rPr>
          <w:color w:val="0D0D0D" w:themeColor="text1" w:themeTint="F2"/>
          <w:sz w:val="28"/>
          <w:lang w:bidi="ru-RU"/>
        </w:rPr>
      </w:pPr>
      <w:r>
        <w:rPr>
          <w:color w:val="0D0D0D" w:themeColor="text1" w:themeTint="F2"/>
          <w:sz w:val="28"/>
          <w:lang w:bidi="ru-RU"/>
        </w:rPr>
        <w:t xml:space="preserve">Исходя из вышесказанного, о местонахождении якоря </w:t>
      </w:r>
      <w:r>
        <w:rPr>
          <w:rFonts w:cs="Times New Roman"/>
          <w:color w:val="00000A"/>
          <w:sz w:val="28"/>
        </w:rPr>
        <w:t>ГКУ ГС «ЕДКС» неизвестно.</w:t>
      </w:r>
    </w:p>
    <w:p w:rsidR="001A4490" w:rsidRDefault="001A4490">
      <w:pPr>
        <w:pStyle w:val="ab"/>
        <w:ind w:firstLine="709"/>
        <w:jc w:val="both"/>
        <w:rPr>
          <w:color w:val="0D0D0D" w:themeColor="text1" w:themeTint="F2"/>
          <w:sz w:val="28"/>
          <w:lang w:bidi="ru-RU"/>
        </w:rPr>
      </w:pPr>
    </w:p>
    <w:p w:rsidR="001A4490" w:rsidRDefault="001A4490">
      <w:pPr>
        <w:pStyle w:val="ab"/>
        <w:ind w:firstLine="709"/>
        <w:jc w:val="both"/>
        <w:rPr>
          <w:color w:val="0D0D0D" w:themeColor="text1" w:themeTint="F2"/>
          <w:sz w:val="28"/>
          <w:lang w:bidi="ru-RU"/>
        </w:rPr>
      </w:pPr>
    </w:p>
    <w:p w:rsidR="001A4490" w:rsidRDefault="001A4490">
      <w:pPr>
        <w:pStyle w:val="ab"/>
        <w:ind w:firstLine="709"/>
        <w:jc w:val="both"/>
        <w:rPr>
          <w:color w:val="0D0D0D" w:themeColor="text1" w:themeTint="F2"/>
          <w:sz w:val="28"/>
          <w:lang w:bidi="ru-RU"/>
        </w:rPr>
      </w:pPr>
    </w:p>
    <w:p w:rsidR="001A4490" w:rsidRDefault="00C32C3E">
      <w:pPr>
        <w:pStyle w:val="ab"/>
        <w:jc w:val="both"/>
        <w:rPr>
          <w:rFonts w:cs="Times New Roman"/>
          <w:color w:val="000000"/>
          <w:sz w:val="28"/>
          <w:lang w:eastAsia="ru-RU"/>
        </w:rPr>
      </w:pPr>
      <w:r>
        <w:rPr>
          <w:rFonts w:cs="Times New Roman"/>
          <w:color w:val="000000"/>
          <w:sz w:val="28"/>
          <w:lang w:eastAsia="ru-RU"/>
        </w:rPr>
        <w:t>Первый заместитель директора</w:t>
      </w: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  <w:t xml:space="preserve">    О.Л. Ушаков</w:t>
      </w:r>
    </w:p>
    <w:p w:rsidR="001A4490" w:rsidRDefault="001A4490">
      <w:pPr>
        <w:pStyle w:val="ab"/>
        <w:ind w:firstLine="709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C32C3E">
      <w:pPr>
        <w:pStyle w:val="ab"/>
        <w:ind w:firstLine="709"/>
        <w:jc w:val="both"/>
        <w:rPr>
          <w:rFonts w:cs="Times New Roman"/>
          <w:color w:val="000000"/>
          <w:sz w:val="28"/>
          <w:lang w:eastAsia="ru-RU"/>
        </w:rPr>
      </w:pP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noProof/>
          <w:color w:val="000000"/>
          <w:sz w:val="28"/>
          <w:lang w:eastAsia="ru-RU" w:bidi="ar-SA"/>
        </w:rPr>
        <w:drawing>
          <wp:inline distT="0" distB="0" distL="0" distR="0">
            <wp:extent cx="2988310" cy="139446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332_418917972"/>
      <w:bookmarkEnd w:id="1"/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</w:r>
      <w:r>
        <w:rPr>
          <w:rFonts w:cs="Times New Roman"/>
          <w:color w:val="000000"/>
          <w:sz w:val="28"/>
          <w:lang w:eastAsia="ru-RU"/>
        </w:rPr>
        <w:tab/>
        <w:t xml:space="preserve">  </w:t>
      </w: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28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1A4490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1A4490" w:rsidRDefault="00C32C3E">
      <w:pPr>
        <w:pStyle w:val="ab"/>
        <w:jc w:val="both"/>
        <w:rPr>
          <w:rFonts w:cs="Times New Roman"/>
          <w:color w:val="000000"/>
          <w:sz w:val="16"/>
          <w:szCs w:val="16"/>
          <w:lang w:eastAsia="ru-RU"/>
        </w:rPr>
      </w:pPr>
      <w:r>
        <w:rPr>
          <w:rFonts w:cs="Times New Roman"/>
          <w:color w:val="000000"/>
          <w:sz w:val="16"/>
          <w:szCs w:val="16"/>
          <w:lang w:eastAsia="ru-RU"/>
        </w:rPr>
        <w:t>Исп. Резник Алексей Сергеевич</w:t>
      </w:r>
    </w:p>
    <w:p w:rsidR="001A4490" w:rsidRDefault="00C32C3E">
      <w:pPr>
        <w:pStyle w:val="ab"/>
        <w:jc w:val="both"/>
      </w:pPr>
      <w:r>
        <w:rPr>
          <w:rFonts w:cs="Times New Roman"/>
          <w:color w:val="000000"/>
          <w:sz w:val="16"/>
          <w:szCs w:val="16"/>
          <w:lang w:eastAsia="ru-RU"/>
        </w:rPr>
        <w:t>+7 (8692) 41-73-66 (доб. 2031)</w:t>
      </w:r>
    </w:p>
    <w:sectPr w:rsidR="001A4490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70" w:rsidRDefault="00F23370">
      <w:pPr>
        <w:spacing w:after="0" w:line="240" w:lineRule="auto"/>
      </w:pPr>
      <w:r>
        <w:separator/>
      </w:r>
    </w:p>
  </w:endnote>
  <w:endnote w:type="continuationSeparator" w:id="0">
    <w:p w:rsidR="00F23370" w:rsidRDefault="00F2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70" w:rsidRDefault="00F23370">
      <w:pPr>
        <w:spacing w:after="0" w:line="240" w:lineRule="auto"/>
      </w:pPr>
      <w:r>
        <w:separator/>
      </w:r>
    </w:p>
  </w:footnote>
  <w:footnote w:type="continuationSeparator" w:id="0">
    <w:p w:rsidR="00F23370" w:rsidRDefault="00F2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90" w:rsidRDefault="00C32C3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856DAC">
      <w:rPr>
        <w:noProof/>
      </w:rPr>
      <w:t>3</w:t>
    </w:r>
    <w:r>
      <w:fldChar w:fldCharType="end"/>
    </w:r>
  </w:p>
  <w:p w:rsidR="001A4490" w:rsidRDefault="001A449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90"/>
    <w:rsid w:val="001A4490"/>
    <w:rsid w:val="002815B4"/>
    <w:rsid w:val="00606F58"/>
    <w:rsid w:val="00856DAC"/>
    <w:rsid w:val="00BA5A48"/>
    <w:rsid w:val="00C32C3E"/>
    <w:rsid w:val="00F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F0D"/>
  <w15:docId w15:val="{29B8C00B-09B1-423C-93F9-6672C3B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8E"/>
    <w:pPr>
      <w:spacing w:after="200" w:line="276" w:lineRule="auto"/>
    </w:pPr>
    <w:rPr>
      <w:rFonts w:ascii="Times New Roman" w:eastAsia="SimSun" w:hAnsi="Times New Roman" w:cs="Times New Roman"/>
      <w:color w:val="505B61"/>
      <w:kern w:val="2"/>
      <w:sz w:val="26"/>
      <w:szCs w:val="28"/>
      <w:lang w:eastAsia="zh-CN" w:bidi="hi-IN"/>
    </w:rPr>
  </w:style>
  <w:style w:type="paragraph" w:styleId="1">
    <w:name w:val="heading 1"/>
    <w:basedOn w:val="a"/>
    <w:uiPriority w:val="9"/>
    <w:qFormat/>
    <w:rsid w:val="009834E8"/>
    <w:pPr>
      <w:spacing w:beforeAutospacing="1" w:afterAutospacing="1" w:line="240" w:lineRule="auto"/>
      <w:outlineLvl w:val="0"/>
    </w:pPr>
    <w:rPr>
      <w:rFonts w:eastAsia="Times New Roman"/>
      <w:b/>
      <w:bCs/>
      <w:color w:val="00000A"/>
      <w:sz w:val="48"/>
      <w:szCs w:val="48"/>
      <w:lang w:eastAsia="ru-RU" w:bidi="ar-SA"/>
    </w:rPr>
  </w:style>
  <w:style w:type="paragraph" w:styleId="2">
    <w:name w:val="heading 2"/>
    <w:basedOn w:val="a"/>
    <w:uiPriority w:val="9"/>
    <w:unhideWhenUsed/>
    <w:qFormat/>
    <w:rsid w:val="00B76104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365F91" w:themeColor="accent1" w:themeShade="BF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2D8E"/>
    <w:rPr>
      <w:rFonts w:ascii="Tahoma" w:eastAsia="SimSun" w:hAnsi="Tahoma" w:cs="Mangal"/>
      <w:color w:val="505B61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0"/>
    <w:uiPriority w:val="9"/>
    <w:qFormat/>
    <w:rsid w:val="009834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D16F9"/>
    <w:rPr>
      <w:rFonts w:ascii="Times New Roman" w:eastAsia="SimSun" w:hAnsi="Times New Roman" w:cs="Mangal"/>
      <w:color w:val="505B61"/>
      <w:kern w:val="2"/>
      <w:sz w:val="26"/>
      <w:szCs w:val="28"/>
      <w:lang w:eastAsia="zh-CN" w:bidi="hi-IN"/>
    </w:rPr>
  </w:style>
  <w:style w:type="character" w:customStyle="1" w:styleId="a5">
    <w:name w:val="Нижний колонтитул Знак"/>
    <w:basedOn w:val="a0"/>
    <w:uiPriority w:val="99"/>
    <w:qFormat/>
    <w:rsid w:val="008D16F9"/>
    <w:rPr>
      <w:rFonts w:ascii="Times New Roman" w:eastAsia="SimSun" w:hAnsi="Times New Roman" w:cs="Mangal"/>
      <w:color w:val="505B61"/>
      <w:kern w:val="2"/>
      <w:sz w:val="26"/>
      <w:szCs w:val="28"/>
      <w:lang w:eastAsia="zh-CN" w:bidi="hi-IN"/>
    </w:rPr>
  </w:style>
  <w:style w:type="character" w:customStyle="1" w:styleId="20">
    <w:name w:val="Заголовок 2 Знак"/>
    <w:basedOn w:val="a0"/>
    <w:link w:val="20"/>
    <w:uiPriority w:val="9"/>
    <w:qFormat/>
    <w:rsid w:val="00B76104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customStyle="1" w:styleId="InternetLink">
    <w:name w:val="Internet Link"/>
    <w:basedOn w:val="a0"/>
    <w:uiPriority w:val="99"/>
    <w:semiHidden/>
    <w:unhideWhenUsed/>
    <w:rsid w:val="00C74525"/>
    <w:rPr>
      <w:color w:val="0000FF"/>
      <w:u w:val="single"/>
    </w:rPr>
  </w:style>
  <w:style w:type="character" w:styleId="a6">
    <w:name w:val="Strong"/>
    <w:basedOn w:val="a0"/>
    <w:uiPriority w:val="22"/>
    <w:qFormat/>
    <w:rsid w:val="005701AC"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uiPriority w:val="99"/>
    <w:qFormat/>
    <w:rsid w:val="00BF2D8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BF2D8E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ab">
    <w:name w:val="No Spacing"/>
    <w:uiPriority w:val="1"/>
    <w:qFormat/>
    <w:rsid w:val="009834E8"/>
    <w:rPr>
      <w:rFonts w:ascii="Times New Roman" w:eastAsia="SimSun" w:hAnsi="Times New Roman" w:cs="Mangal"/>
      <w:color w:val="505B61"/>
      <w:kern w:val="2"/>
      <w:sz w:val="26"/>
      <w:szCs w:val="28"/>
      <w:lang w:eastAsia="zh-CN" w:bidi="hi-IN"/>
    </w:rPr>
  </w:style>
  <w:style w:type="paragraph" w:styleId="ac">
    <w:name w:val="header"/>
    <w:basedOn w:val="a"/>
    <w:uiPriority w:val="99"/>
    <w:unhideWhenUsed/>
    <w:rsid w:val="008D16F9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paragraph" w:styleId="ad">
    <w:name w:val="footer"/>
    <w:basedOn w:val="a"/>
    <w:uiPriority w:val="99"/>
    <w:unhideWhenUsed/>
    <w:rsid w:val="008D16F9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paragraph" w:styleId="ae">
    <w:name w:val="Normal (Web)"/>
    <w:basedOn w:val="a"/>
    <w:uiPriority w:val="99"/>
    <w:qFormat/>
    <w:rsid w:val="007B72C4"/>
    <w:pPr>
      <w:spacing w:beforeAutospacing="1" w:afterAutospacing="1" w:line="240" w:lineRule="auto"/>
    </w:pPr>
    <w:rPr>
      <w:rFonts w:eastAsia="Calibri"/>
      <w:color w:val="00000A"/>
      <w:kern w:val="0"/>
      <w:sz w:val="24"/>
      <w:szCs w:val="24"/>
      <w:lang w:eastAsia="ru-RU" w:bidi="ar-SA"/>
    </w:rPr>
  </w:style>
  <w:style w:type="paragraph" w:styleId="af">
    <w:name w:val="List Paragraph"/>
    <w:basedOn w:val="a"/>
    <w:uiPriority w:val="34"/>
    <w:qFormat/>
    <w:rsid w:val="007F14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BF2D8E"/>
    <w:rPr>
      <w:color w:val="505B61"/>
      <w:sz w:val="26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56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9cf93c84-439d-4797-9a8a-cd15147d8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vastopol.su/news/ischeznovenie-dvorcovogo-yakorya-vstrevozhilo-sevastopolce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25B6-CF04-4925-BA8A-D7E94E01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419</Words>
  <Characters>2541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SvetlanaK</cp:lastModifiedBy>
  <cp:revision>3</cp:revision>
  <cp:lastPrinted>2020-04-06T09:12:00Z</cp:lastPrinted>
  <dcterms:created xsi:type="dcterms:W3CDTF">2022-06-07T06:24:00Z</dcterms:created>
  <dcterms:modified xsi:type="dcterms:W3CDTF">2022-06-24T13:04:00Z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